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E226" w14:textId="77777777" w:rsidR="00BE00A9" w:rsidRDefault="00000000">
      <w:pPr>
        <w:spacing w:after="200"/>
      </w:pPr>
      <w:r>
        <w:rPr>
          <w:b/>
          <w:bCs/>
          <w:color w:val="1F3864"/>
          <w:sz w:val="40"/>
          <w:szCs w:val="40"/>
        </w:rPr>
        <w:t>Functional Requirements Scoring Sheet</w:t>
      </w:r>
    </w:p>
    <w:p w14:paraId="08ACADF7" w14:textId="6128CB35" w:rsidR="00BE00A9" w:rsidRDefault="00000000">
      <w:pPr>
        <w:spacing w:after="320"/>
      </w:pPr>
      <w:r>
        <w:rPr>
          <w:i/>
          <w:iCs/>
          <w:color w:val="666666"/>
        </w:rPr>
        <w:t>TMS RFP  |  [Company Name]</w:t>
      </w:r>
    </w:p>
    <w:p w14:paraId="639A8E42" w14:textId="77777777" w:rsidR="00BE00A9" w:rsidRDefault="00BE00A9">
      <w:pPr>
        <w:pBdr>
          <w:bottom w:val="single" w:sz="6" w:space="1" w:color="CCCCCC"/>
        </w:pBdr>
        <w:spacing w:before="160" w:after="160"/>
      </w:pPr>
    </w:p>
    <w:p w14:paraId="3B50564A" w14:textId="77777777" w:rsidR="00BE00A9" w:rsidRDefault="00000000">
      <w:pPr>
        <w:spacing w:before="80" w:after="80"/>
      </w:pPr>
      <w:r>
        <w:t>Instructions: For each requirement, enter your coverage classification: Native / Third-party / Customisation / Not supported. Add remarks where needed.</w:t>
      </w:r>
    </w:p>
    <w:p w14:paraId="140B2655" w14:textId="77777777" w:rsidR="00BE00A9" w:rsidRDefault="00000000">
      <w:pPr>
        <w:spacing w:before="80" w:after="80"/>
      </w:pPr>
      <w:r>
        <w:t>Priority codes: M = Must-have  |  S = Should-have  |  N = Nice-to-have</w:t>
      </w:r>
    </w:p>
    <w:p w14:paraId="0ACA4F5E" w14:textId="77777777" w:rsidR="00BE00A9" w:rsidRDefault="00BE00A9">
      <w:pPr>
        <w:spacing w:before="100"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1"/>
        <w:gridCol w:w="1033"/>
        <w:gridCol w:w="2264"/>
        <w:gridCol w:w="1866"/>
        <w:gridCol w:w="1262"/>
      </w:tblGrid>
      <w:tr w:rsidR="00B14F57" w14:paraId="18EA7232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37D60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D9681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3A968" w14:textId="135BA4E0" w:rsidR="00BE00A9" w:rsidRDefault="00B14F57">
            <w:r>
              <w:rPr>
                <w:b/>
                <w:bCs/>
                <w:color w:val="FFFFFF"/>
                <w:sz w:val="20"/>
                <w:szCs w:val="20"/>
              </w:rPr>
              <w:t>Remarks/clarification</w:t>
            </w:r>
          </w:p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6CCC1" w14:textId="78ED119E" w:rsidR="00BE00A9" w:rsidRDefault="00B14F57">
            <w:r>
              <w:rPr>
                <w:b/>
                <w:bCs/>
                <w:color w:val="FFFFFF"/>
                <w:sz w:val="20"/>
                <w:szCs w:val="20"/>
              </w:rPr>
              <w:t>Coverage</w:t>
            </w:r>
          </w:p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9D704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Vendor notes</w:t>
            </w:r>
          </w:p>
        </w:tc>
      </w:tr>
      <w:tr w:rsidR="00BE00A9" w14:paraId="28DB87C3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BB56A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A. Carrier Connectivity</w:t>
            </w:r>
          </w:p>
        </w:tc>
      </w:tr>
      <w:tr w:rsidR="00B14F57" w14:paraId="5E9BEB68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41F08" w14:textId="77777777" w:rsidR="00BE00A9" w:rsidRDefault="00000000">
            <w:r>
              <w:rPr>
                <w:sz w:val="20"/>
                <w:szCs w:val="20"/>
              </w:rPr>
              <w:t>Direct API integration with existing carriers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72B8F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EC285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963A7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0B064" w14:textId="77777777" w:rsidR="00BE00A9" w:rsidRDefault="00BE00A9"/>
        </w:tc>
      </w:tr>
      <w:tr w:rsidR="00B14F57" w14:paraId="25AC5F36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2D105" w14:textId="77777777" w:rsidR="00BE00A9" w:rsidRDefault="00000000">
            <w:r>
              <w:rPr>
                <w:sz w:val="20"/>
                <w:szCs w:val="20"/>
              </w:rPr>
              <w:t>Email-based booking for non-API carriers — no carrier left behind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9774B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26738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E8332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BE351" w14:textId="77777777" w:rsidR="00BE00A9" w:rsidRDefault="00BE00A9"/>
        </w:tc>
      </w:tr>
      <w:tr w:rsidR="00B14F57" w14:paraId="75AEB77B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D6AB7" w14:textId="46FF54A9" w:rsidR="00BE00A9" w:rsidRDefault="00000000">
            <w:r>
              <w:rPr>
                <w:sz w:val="20"/>
                <w:szCs w:val="20"/>
              </w:rPr>
              <w:t xml:space="preserve">Unified carrier service level </w:t>
            </w:r>
            <w:r w:rsidR="00036A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all carriers behave identically regardless of their own API capability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3CEFD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897F4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A2F88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E1740" w14:textId="77777777" w:rsidR="00BE00A9" w:rsidRDefault="00BE00A9"/>
        </w:tc>
      </w:tr>
      <w:tr w:rsidR="00B14F57" w14:paraId="5B03F341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1E397" w14:textId="10BFBE36" w:rsidR="00BE00A9" w:rsidRDefault="00000000">
            <w:r>
              <w:rPr>
                <w:sz w:val="20"/>
                <w:szCs w:val="20"/>
              </w:rPr>
              <w:t xml:space="preserve">New carrier integrations included in subscription </w:t>
            </w:r>
            <w:r w:rsidR="00036A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no extra charge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50614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6E828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53DE5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43B4D" w14:textId="77777777" w:rsidR="00BE00A9" w:rsidRDefault="00BE00A9"/>
        </w:tc>
      </w:tr>
      <w:tr w:rsidR="00B14F57" w14:paraId="0CEB0B55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7EF3D" w14:textId="77777777" w:rsidR="00BE00A9" w:rsidRDefault="00000000">
            <w:r>
              <w:rPr>
                <w:sz w:val="20"/>
                <w:szCs w:val="20"/>
              </w:rPr>
              <w:t>Ease of adding a new carrier: describe the process, typical timeline, and who initiates it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1BCD7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68176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1615C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0E9EC" w14:textId="77777777" w:rsidR="00BE00A9" w:rsidRDefault="00BE00A9"/>
        </w:tc>
      </w:tr>
      <w:tr w:rsidR="00B14F57" w14:paraId="4953A5F7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E7473" w14:textId="7EB7E137" w:rsidR="00BE00A9" w:rsidRDefault="00000000">
            <w:r>
              <w:rPr>
                <w:sz w:val="20"/>
                <w:szCs w:val="20"/>
              </w:rPr>
              <w:t xml:space="preserve">CO2 calculation per shipment </w:t>
            </w:r>
            <w:r w:rsidR="00036A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vendor-side when carrier does not provide it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63EF0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94AE4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ACE2A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40A16" w14:textId="77777777" w:rsidR="00BE00A9" w:rsidRDefault="00BE00A9"/>
        </w:tc>
      </w:tr>
      <w:tr w:rsidR="00BE00A9" w14:paraId="4FBCBD88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2C282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B. Pricelist Management and Pricing Engine</w:t>
            </w:r>
          </w:p>
        </w:tc>
      </w:tr>
      <w:tr w:rsidR="00B14F57" w14:paraId="7C5E6CC2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FEF1D" w14:textId="77777777" w:rsidR="00BE00A9" w:rsidRDefault="00000000">
            <w:r>
              <w:rPr>
                <w:sz w:val="20"/>
                <w:szCs w:val="20"/>
              </w:rPr>
              <w:t>Upload and storage of negotiated carrier pricelists (all modes)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4E3CE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43F7C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4563C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CFBA3" w14:textId="77777777" w:rsidR="00BE00A9" w:rsidRDefault="00BE00A9"/>
        </w:tc>
      </w:tr>
      <w:tr w:rsidR="00B14F57" w14:paraId="7033BC54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F58CB" w14:textId="77777777" w:rsidR="00BE00A9" w:rsidRDefault="00000000">
            <w:r>
              <w:rPr>
                <w:sz w:val="20"/>
                <w:szCs w:val="20"/>
              </w:rPr>
              <w:t>Automated freight price calculation from uploaded pricelist when carrier has no pricing API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496D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3A0BA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A0060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D1FA5" w14:textId="77777777" w:rsidR="00BE00A9" w:rsidRDefault="00BE00A9"/>
        </w:tc>
      </w:tr>
      <w:tr w:rsidR="00B14F57" w14:paraId="045162A0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CD5FC" w14:textId="77777777" w:rsidR="00BE00A9" w:rsidRDefault="00000000">
            <w:r>
              <w:rPr>
                <w:sz w:val="20"/>
                <w:szCs w:val="20"/>
              </w:rPr>
              <w:t>Support for complex pricelist structures: weight breaks, zones, surcharges, fuel indexes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9D493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CF5CC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E909D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EBA64" w14:textId="77777777" w:rsidR="00BE00A9" w:rsidRDefault="00BE00A9"/>
        </w:tc>
      </w:tr>
      <w:tr w:rsidR="00B14F57" w14:paraId="0E331151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154DD" w14:textId="77777777" w:rsidR="00BE00A9" w:rsidRDefault="00000000">
            <w:r>
              <w:rPr>
                <w:sz w:val="20"/>
                <w:szCs w:val="20"/>
              </w:rPr>
              <w:t>Pricelist validity periods and version management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179BB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7AD6F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56581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3B8BD" w14:textId="77777777" w:rsidR="00BE00A9" w:rsidRDefault="00BE00A9"/>
        </w:tc>
      </w:tr>
      <w:tr w:rsidR="00B14F57" w14:paraId="0FD2D33C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BFE0E" w14:textId="77777777" w:rsidR="00BE00A9" w:rsidRDefault="00000000">
            <w:r>
              <w:rPr>
                <w:sz w:val="20"/>
                <w:szCs w:val="20"/>
              </w:rPr>
              <w:t>Side-by-side price comparison across all carriers for each shipment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E50AE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9E4C5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A574B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3D081" w14:textId="77777777" w:rsidR="00BE00A9" w:rsidRDefault="00BE00A9"/>
        </w:tc>
      </w:tr>
      <w:tr w:rsidR="00B14F57" w14:paraId="32167217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E6DA1" w14:textId="77777777" w:rsidR="00BE00A9" w:rsidRDefault="00000000">
            <w:r>
              <w:rPr>
                <w:sz w:val="20"/>
                <w:szCs w:val="20"/>
              </w:rPr>
              <w:t>SPOT request handling directly from the platform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0823F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16CAC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2EEC1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E4E16" w14:textId="77777777" w:rsidR="00BE00A9" w:rsidRDefault="00BE00A9"/>
        </w:tc>
      </w:tr>
      <w:tr w:rsidR="00B14F57" w14:paraId="65C19BF7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3BCDE" w14:textId="77777777" w:rsidR="00BE00A9" w:rsidRDefault="00000000">
            <w:r>
              <w:rPr>
                <w:sz w:val="20"/>
                <w:szCs w:val="20"/>
              </w:rPr>
              <w:t>Automated carrier selection rules based on price, lead time, or mode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14253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A5467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4BCA0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50B5C" w14:textId="77777777" w:rsidR="00BE00A9" w:rsidRDefault="00BE00A9"/>
        </w:tc>
      </w:tr>
      <w:tr w:rsidR="00BE00A9" w14:paraId="5F8AABA9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940E0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C. ETA and Lead Time</w:t>
            </w:r>
          </w:p>
        </w:tc>
      </w:tr>
      <w:tr w:rsidR="00B14F57" w14:paraId="5589F18B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86DE0" w14:textId="77777777" w:rsidR="00BE00A9" w:rsidRDefault="00000000">
            <w:r>
              <w:rPr>
                <w:sz w:val="20"/>
                <w:szCs w:val="20"/>
              </w:rPr>
              <w:t>ETA calculation from carrier API where available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C1167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46CE4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243D1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06C5D" w14:textId="77777777" w:rsidR="00BE00A9" w:rsidRDefault="00BE00A9"/>
        </w:tc>
      </w:tr>
      <w:tr w:rsidR="00B14F57" w14:paraId="3D466B7A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43F75" w14:textId="77777777" w:rsidR="00BE00A9" w:rsidRDefault="00000000">
            <w:r>
              <w:rPr>
                <w:sz w:val="20"/>
                <w:szCs w:val="20"/>
              </w:rPr>
              <w:t>Vendor-side ETA estimation when carrier does not provide transit time data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33CCD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06163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4CF6F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69F35" w14:textId="77777777" w:rsidR="00BE00A9" w:rsidRDefault="00BE00A9"/>
        </w:tc>
      </w:tr>
      <w:tr w:rsidR="00B14F57" w14:paraId="51A21987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5FC23" w14:textId="77777777" w:rsidR="00BE00A9" w:rsidRDefault="00000000">
            <w:r>
              <w:rPr>
                <w:sz w:val="20"/>
                <w:szCs w:val="20"/>
              </w:rPr>
              <w:t>Lead time calculation for all connected carriers and services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6BC3C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00463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54BD2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A7973" w14:textId="77777777" w:rsidR="00BE00A9" w:rsidRDefault="00BE00A9"/>
        </w:tc>
      </w:tr>
      <w:tr w:rsidR="00B14F57" w14:paraId="667DD069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A2755" w14:textId="77777777" w:rsidR="00BE00A9" w:rsidRDefault="00000000">
            <w:r>
              <w:rPr>
                <w:sz w:val="20"/>
                <w:szCs w:val="20"/>
              </w:rPr>
              <w:lastRenderedPageBreak/>
              <w:t>ETA updates and deviation alerts (late pickup, delayed delivery)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3D92C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F3909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BF620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DD3AA" w14:textId="77777777" w:rsidR="00BE00A9" w:rsidRDefault="00BE00A9"/>
        </w:tc>
      </w:tr>
      <w:tr w:rsidR="00B14F57" w14:paraId="78973A39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13A11" w14:textId="77777777" w:rsidR="00BE00A9" w:rsidRDefault="00000000">
            <w:r>
              <w:rPr>
                <w:sz w:val="20"/>
                <w:szCs w:val="20"/>
              </w:rPr>
              <w:t>Truck number / vehicle plate management and updates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D638F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1466E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7CFDD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E2C53" w14:textId="77777777" w:rsidR="00BE00A9" w:rsidRDefault="00BE00A9"/>
        </w:tc>
      </w:tr>
      <w:tr w:rsidR="00BE00A9" w14:paraId="409A168B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1A73F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D. Shipment Execution and Documentation</w:t>
            </w:r>
          </w:p>
        </w:tc>
      </w:tr>
      <w:tr w:rsidR="00B14F57" w14:paraId="0CF23B45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FB998" w14:textId="385C41BC" w:rsidR="00BE00A9" w:rsidRDefault="00000000">
            <w:r>
              <w:rPr>
                <w:sz w:val="20"/>
                <w:szCs w:val="20"/>
              </w:rPr>
              <w:t xml:space="preserve">Transport order creation </w:t>
            </w:r>
            <w:r w:rsidR="00036A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manual entry and via API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FFA06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7911F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71D0B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1ED1D" w14:textId="77777777" w:rsidR="00BE00A9" w:rsidRDefault="00BE00A9"/>
        </w:tc>
      </w:tr>
      <w:tr w:rsidR="00B14F57" w14:paraId="172D036A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86F5A" w14:textId="77777777" w:rsidR="00BE00A9" w:rsidRDefault="00000000">
            <w:r>
              <w:rPr>
                <w:sz w:val="20"/>
                <w:szCs w:val="20"/>
              </w:rPr>
              <w:t>Shipment consolidation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4ACC1" w14:textId="77777777" w:rsidR="00BE00A9" w:rsidRDefault="00000000">
            <w:r>
              <w:rPr>
                <w:sz w:val="20"/>
                <w:szCs w:val="20"/>
              </w:rPr>
              <w:t>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458E2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297BD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40BFF" w14:textId="77777777" w:rsidR="00BE00A9" w:rsidRDefault="00BE00A9"/>
        </w:tc>
      </w:tr>
      <w:tr w:rsidR="00B14F57" w14:paraId="6621D24A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8C1D1" w14:textId="6A189518" w:rsidR="00BE00A9" w:rsidRDefault="00000000">
            <w:r>
              <w:rPr>
                <w:sz w:val="20"/>
                <w:szCs w:val="20"/>
              </w:rPr>
              <w:t xml:space="preserve">Transport label generation </w:t>
            </w:r>
            <w:r w:rsidR="00036A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vendor-side when carrier cannot generate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02D44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56856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094E5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CCD03" w14:textId="77777777" w:rsidR="00BE00A9" w:rsidRDefault="00BE00A9"/>
        </w:tc>
      </w:tr>
      <w:tr w:rsidR="00B14F57" w14:paraId="66F695F9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D57CB" w14:textId="77777777" w:rsidR="00BE00A9" w:rsidRDefault="00000000">
            <w:r>
              <w:rPr>
                <w:sz w:val="20"/>
                <w:szCs w:val="20"/>
              </w:rPr>
              <w:t>CMR / BOL generation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DEAB3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1BAB5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477E3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819E7" w14:textId="77777777" w:rsidR="00BE00A9" w:rsidRDefault="00BE00A9"/>
        </w:tc>
      </w:tr>
      <w:tr w:rsidR="00B14F57" w14:paraId="564D2414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4503E" w14:textId="77777777" w:rsidR="00BE00A9" w:rsidRDefault="00000000">
            <w:r>
              <w:rPr>
                <w:sz w:val="20"/>
                <w:szCs w:val="20"/>
              </w:rPr>
              <w:t>Commercial invoice generation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72BBE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61455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6C18B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BC1F7" w14:textId="77777777" w:rsidR="00BE00A9" w:rsidRDefault="00BE00A9"/>
        </w:tc>
      </w:tr>
      <w:tr w:rsidR="00B14F57" w14:paraId="4E1638FA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DFD23" w14:textId="77777777" w:rsidR="00BE00A9" w:rsidRDefault="00000000">
            <w:r>
              <w:rPr>
                <w:sz w:val="20"/>
                <w:szCs w:val="20"/>
              </w:rPr>
              <w:t>Proof of delivery (POD) retrieval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51ACE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22AAD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C0085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CC7B4" w14:textId="77777777" w:rsidR="00BE00A9" w:rsidRDefault="00BE00A9"/>
        </w:tc>
      </w:tr>
      <w:tr w:rsidR="00BE00A9" w14:paraId="76BA8329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4C0F0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E. Tracking and Visibility</w:t>
            </w:r>
          </w:p>
        </w:tc>
      </w:tr>
      <w:tr w:rsidR="00B14F57" w14:paraId="4CB896D1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6C323" w14:textId="77777777" w:rsidR="00BE00A9" w:rsidRDefault="00000000">
            <w:r>
              <w:rPr>
                <w:sz w:val="20"/>
                <w:szCs w:val="20"/>
              </w:rPr>
              <w:t>Real-time tracking for API-enabled carriers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910AB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1732B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C2CFD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69CC2" w14:textId="77777777" w:rsidR="00BE00A9" w:rsidRDefault="00BE00A9"/>
        </w:tc>
      </w:tr>
      <w:tr w:rsidR="00B14F57" w14:paraId="3611B511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EAFAF" w14:textId="77777777" w:rsidR="00BE00A9" w:rsidRDefault="00000000">
            <w:r>
              <w:rPr>
                <w:sz w:val="20"/>
                <w:szCs w:val="20"/>
              </w:rPr>
              <w:t>Passive tracking / manual milestone update for non-API carriers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6ABA8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43921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06C72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D39DD" w14:textId="77777777" w:rsidR="00BE00A9" w:rsidRDefault="00BE00A9"/>
        </w:tc>
      </w:tr>
      <w:tr w:rsidR="00B14F57" w14:paraId="386E80BE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C2896" w14:textId="017D8DCB" w:rsidR="00BE00A9" w:rsidRDefault="00000000">
            <w:r>
              <w:rPr>
                <w:sz w:val="20"/>
                <w:szCs w:val="20"/>
              </w:rPr>
              <w:t xml:space="preserve">Normalised tracking event structure </w:t>
            </w:r>
            <w:r w:rsidR="00036A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consistent across all carriers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DF369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FD2B8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3B2EF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46FB7" w14:textId="77777777" w:rsidR="00BE00A9" w:rsidRDefault="00BE00A9"/>
        </w:tc>
      </w:tr>
      <w:tr w:rsidR="00B14F57" w14:paraId="28610123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DDAE2" w14:textId="77777777" w:rsidR="00BE00A9" w:rsidRDefault="00000000">
            <w:r>
              <w:rPr>
                <w:sz w:val="20"/>
                <w:szCs w:val="20"/>
              </w:rPr>
              <w:t>Centralised shipment dashboard (all sites, all carriers)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2CC1E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D87B2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B9E8B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DFD09" w14:textId="77777777" w:rsidR="00BE00A9" w:rsidRDefault="00BE00A9"/>
        </w:tc>
      </w:tr>
      <w:tr w:rsidR="00B14F57" w14:paraId="59834F60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55E67" w14:textId="77777777" w:rsidR="00BE00A9" w:rsidRDefault="00000000">
            <w:r>
              <w:rPr>
                <w:sz w:val="20"/>
                <w:szCs w:val="20"/>
              </w:rPr>
              <w:lastRenderedPageBreak/>
              <w:t>Automated exception alerts (delays, missing scans, customs holds)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36239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BDF26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CA8B9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1749B" w14:textId="77777777" w:rsidR="00BE00A9" w:rsidRDefault="00BE00A9"/>
        </w:tc>
      </w:tr>
      <w:tr w:rsidR="00B14F57" w14:paraId="4E8756BE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8F376" w14:textId="77777777" w:rsidR="00BE00A9" w:rsidRDefault="00000000">
            <w:r>
              <w:rPr>
                <w:sz w:val="20"/>
                <w:szCs w:val="20"/>
              </w:rPr>
              <w:t>Customer-facing tracking portal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0CAB0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C8D18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D8C50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CB48D" w14:textId="77777777" w:rsidR="00BE00A9" w:rsidRDefault="00BE00A9"/>
        </w:tc>
      </w:tr>
      <w:tr w:rsidR="00BE00A9" w14:paraId="5BB51692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7A8D7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F. Supplier and Third-Party Access</w:t>
            </w:r>
          </w:p>
        </w:tc>
      </w:tr>
      <w:tr w:rsidR="00B14F57" w14:paraId="75AB69ED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FD068" w14:textId="77777777" w:rsidR="00BE00A9" w:rsidRDefault="00000000">
            <w:r>
              <w:rPr>
                <w:sz w:val="20"/>
                <w:szCs w:val="20"/>
              </w:rPr>
              <w:t>Supplier portal — suppliers can book shipments or enter tracking references on behalf of the shipper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AF8CD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7B434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8FFAA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4EF42" w14:textId="77777777" w:rsidR="00BE00A9" w:rsidRDefault="00BE00A9"/>
        </w:tc>
      </w:tr>
      <w:tr w:rsidR="00B14F57" w14:paraId="576243DC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B96B8" w14:textId="77777777" w:rsidR="00BE00A9" w:rsidRDefault="00000000">
            <w:r>
              <w:rPr>
                <w:sz w:val="20"/>
                <w:szCs w:val="20"/>
              </w:rPr>
              <w:t>Third-party / partner access with controlled permissions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1E0CA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99E52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B69B5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32E42" w14:textId="77777777" w:rsidR="00BE00A9" w:rsidRDefault="00BE00A9"/>
        </w:tc>
      </w:tr>
      <w:tr w:rsidR="00B14F57" w14:paraId="27D45ED8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23D5D" w14:textId="721CFC53" w:rsidR="00BE00A9" w:rsidRDefault="00000000">
            <w:r>
              <w:rPr>
                <w:sz w:val="20"/>
                <w:szCs w:val="20"/>
              </w:rPr>
              <w:t xml:space="preserve">Carrier booking portal </w:t>
            </w:r>
            <w:r w:rsidR="00036A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carriers can view and confirm bookings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90EF2" w14:textId="77777777" w:rsidR="00BE00A9" w:rsidRDefault="00000000">
            <w:r>
              <w:rPr>
                <w:sz w:val="20"/>
                <w:szCs w:val="20"/>
              </w:rPr>
              <w:t>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F44FC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6671D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EAF35" w14:textId="77777777" w:rsidR="00BE00A9" w:rsidRDefault="00BE00A9"/>
        </w:tc>
      </w:tr>
      <w:tr w:rsidR="00BE00A9" w14:paraId="5FB2489F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74F1A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G. Own Fleet Management</w:t>
            </w:r>
          </w:p>
        </w:tc>
      </w:tr>
      <w:tr w:rsidR="00B14F57" w14:paraId="3BF72B7F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8F418" w14:textId="77777777" w:rsidR="00BE00A9" w:rsidRDefault="00000000">
            <w:r>
              <w:rPr>
                <w:sz w:val="20"/>
                <w:szCs w:val="20"/>
              </w:rPr>
              <w:t>Support for own fleet / internal vehicles alongside external carriers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931FB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F4E4A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B3A22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20E9A" w14:textId="77777777" w:rsidR="00BE00A9" w:rsidRDefault="00BE00A9"/>
        </w:tc>
      </w:tr>
      <w:tr w:rsidR="00B14F57" w14:paraId="76CECBA4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C833A" w14:textId="77777777" w:rsidR="00BE00A9" w:rsidRDefault="00000000">
            <w:r>
              <w:rPr>
                <w:sz w:val="20"/>
                <w:szCs w:val="20"/>
              </w:rPr>
              <w:t>Own fleet treated identically to external carriers in booking, tracking, and reporting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3049D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4CBE2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E7690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76DDE" w14:textId="77777777" w:rsidR="00BE00A9" w:rsidRDefault="00BE00A9"/>
        </w:tc>
      </w:tr>
      <w:tr w:rsidR="00B14F57" w14:paraId="780AFE76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7454A" w14:textId="77777777" w:rsidR="00BE00A9" w:rsidRDefault="00000000">
            <w:r>
              <w:rPr>
                <w:sz w:val="20"/>
                <w:szCs w:val="20"/>
              </w:rPr>
              <w:t>Driver and vehicle assignment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A2BAE" w14:textId="77777777" w:rsidR="00BE00A9" w:rsidRDefault="00000000">
            <w:r>
              <w:rPr>
                <w:sz w:val="20"/>
                <w:szCs w:val="20"/>
              </w:rPr>
              <w:t>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A9F88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6FED9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B8787" w14:textId="77777777" w:rsidR="00BE00A9" w:rsidRDefault="00BE00A9"/>
        </w:tc>
      </w:tr>
      <w:tr w:rsidR="00B14F57" w14:paraId="2916E04D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0EC74" w14:textId="77777777" w:rsidR="00BE00A9" w:rsidRDefault="00000000">
            <w:r>
              <w:rPr>
                <w:sz w:val="20"/>
                <w:szCs w:val="20"/>
              </w:rPr>
              <w:t>Fleet tracking and milestone management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BF415" w14:textId="77777777" w:rsidR="00BE00A9" w:rsidRDefault="00000000">
            <w:r>
              <w:rPr>
                <w:sz w:val="20"/>
                <w:szCs w:val="20"/>
              </w:rPr>
              <w:t>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FB094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60DA3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5E109" w14:textId="77777777" w:rsidR="00BE00A9" w:rsidRDefault="00BE00A9"/>
        </w:tc>
      </w:tr>
      <w:tr w:rsidR="00BE00A9" w14:paraId="54F677ED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7AF21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H. Reporting and Analytics</w:t>
            </w:r>
          </w:p>
        </w:tc>
      </w:tr>
      <w:tr w:rsidR="00B14F57" w14:paraId="6939FEC4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3B15E" w14:textId="77777777" w:rsidR="00BE00A9" w:rsidRDefault="00000000">
            <w:r>
              <w:rPr>
                <w:sz w:val="20"/>
                <w:szCs w:val="20"/>
              </w:rPr>
              <w:t>On-demand reporting with Excel export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816B4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BA9AA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8DA63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EFCED" w14:textId="77777777" w:rsidR="00BE00A9" w:rsidRDefault="00BE00A9"/>
        </w:tc>
      </w:tr>
      <w:tr w:rsidR="00B14F57" w14:paraId="3B2CCE87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F89FB" w14:textId="77777777" w:rsidR="00BE00A9" w:rsidRDefault="00000000">
            <w:r>
              <w:rPr>
                <w:sz w:val="20"/>
                <w:szCs w:val="20"/>
              </w:rPr>
              <w:lastRenderedPageBreak/>
              <w:t>Carrier performance KPI dashboard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D47CA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7CF8C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20C6B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3478D" w14:textId="77777777" w:rsidR="00BE00A9" w:rsidRDefault="00BE00A9"/>
        </w:tc>
      </w:tr>
      <w:tr w:rsidR="00B14F57" w14:paraId="4E983143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BF6DF" w14:textId="77777777" w:rsidR="00BE00A9" w:rsidRDefault="00000000">
            <w:r>
              <w:rPr>
                <w:sz w:val="20"/>
                <w:szCs w:val="20"/>
              </w:rPr>
              <w:t>Transport cost reporting by carrier / lane / period / mode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A9D15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900D3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18275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69A3F" w14:textId="77777777" w:rsidR="00BE00A9" w:rsidRDefault="00BE00A9"/>
        </w:tc>
      </w:tr>
      <w:tr w:rsidR="00B14F57" w14:paraId="2D89A8AB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6B108" w14:textId="77777777" w:rsidR="00BE00A9" w:rsidRDefault="00000000">
            <w:r>
              <w:rPr>
                <w:sz w:val="20"/>
                <w:szCs w:val="20"/>
              </w:rPr>
              <w:t>CO2 reporting dashboard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243A3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9CC36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C012A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5A863" w14:textId="77777777" w:rsidR="00BE00A9" w:rsidRDefault="00BE00A9"/>
        </w:tc>
      </w:tr>
      <w:tr w:rsidR="00BE00A9" w14:paraId="68CB65B3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885A2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I. Financial</w:t>
            </w:r>
          </w:p>
        </w:tc>
      </w:tr>
      <w:tr w:rsidR="00B14F57" w14:paraId="640DD9D1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979AA" w14:textId="77777777" w:rsidR="00BE00A9" w:rsidRDefault="00000000">
            <w:r>
              <w:rPr>
                <w:sz w:val="20"/>
                <w:szCs w:val="20"/>
              </w:rPr>
              <w:t>Freight cost calculation and storage per shipment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D4F58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99B9D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3BC2A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660D6" w14:textId="77777777" w:rsidR="00BE00A9" w:rsidRDefault="00BE00A9"/>
        </w:tc>
      </w:tr>
      <w:tr w:rsidR="00B14F57" w14:paraId="3ED593A7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A0C3C" w14:textId="77777777" w:rsidR="00BE00A9" w:rsidRDefault="00000000">
            <w:r>
              <w:rPr>
                <w:sz w:val="20"/>
                <w:szCs w:val="20"/>
              </w:rPr>
              <w:t>Automated cost accrual at shipment creation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3FD17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1240A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06573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0FA78" w14:textId="77777777" w:rsidR="00BE00A9" w:rsidRDefault="00BE00A9"/>
        </w:tc>
      </w:tr>
      <w:tr w:rsidR="00B14F57" w14:paraId="69FF694E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E4124" w14:textId="77777777" w:rsidR="00BE00A9" w:rsidRDefault="00000000">
            <w:r>
              <w:rPr>
                <w:sz w:val="20"/>
                <w:szCs w:val="20"/>
              </w:rPr>
              <w:t>GL coding / cost centre allocation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5C2E4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2833D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18FE8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A7B77" w14:textId="77777777" w:rsidR="00BE00A9" w:rsidRDefault="00BE00A9"/>
        </w:tc>
      </w:tr>
      <w:tr w:rsidR="00B14F57" w14:paraId="57B46F2C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7D6D1" w14:textId="77777777" w:rsidR="00BE00A9" w:rsidRDefault="00000000">
            <w:r>
              <w:rPr>
                <w:sz w:val="20"/>
                <w:szCs w:val="20"/>
              </w:rPr>
              <w:t>Carrier invoice vs contracted rate comparison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8BE9B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5205E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78ABE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277A2" w14:textId="77777777" w:rsidR="00BE00A9" w:rsidRDefault="00BE00A9"/>
        </w:tc>
      </w:tr>
      <w:tr w:rsidR="00B14F57" w14:paraId="3F5E37AC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9C56C" w14:textId="77777777" w:rsidR="00BE00A9" w:rsidRDefault="00000000">
            <w:r>
              <w:rPr>
                <w:sz w:val="20"/>
                <w:szCs w:val="20"/>
              </w:rPr>
              <w:t>Landed cost allocation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7A34A" w14:textId="77777777" w:rsidR="00BE00A9" w:rsidRDefault="00000000">
            <w:r>
              <w:rPr>
                <w:sz w:val="20"/>
                <w:szCs w:val="20"/>
              </w:rPr>
              <w:t>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02CAB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E6D57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59EE9" w14:textId="77777777" w:rsidR="00BE00A9" w:rsidRDefault="00BE00A9"/>
        </w:tc>
      </w:tr>
      <w:tr w:rsidR="00BE00A9" w14:paraId="0B0E40FE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A91F6" w14:textId="38C98EA4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J. Integrations </w:t>
            </w:r>
            <w:r w:rsidR="00036A9E">
              <w:rPr>
                <w:b/>
                <w:bCs/>
                <w:color w:val="FFFFFF"/>
                <w:sz w:val="20"/>
                <w:szCs w:val="20"/>
              </w:rPr>
              <w:t>-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Unified Carrier API for ERP and WMS</w:t>
            </w:r>
          </w:p>
        </w:tc>
      </w:tr>
      <w:tr w:rsidR="00B14F57" w14:paraId="451618D4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013B6" w14:textId="24B41E40" w:rsidR="00BE00A9" w:rsidRDefault="00000000">
            <w:r>
              <w:rPr>
                <w:sz w:val="20"/>
                <w:szCs w:val="20"/>
              </w:rPr>
              <w:t xml:space="preserve">Single unified REST API exposing all carrier data to ERP or WMS </w:t>
            </w:r>
            <w:r w:rsidR="005D25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one connection, all carriers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0F2DF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25956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A098A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CD00B" w14:textId="77777777" w:rsidR="00BE00A9" w:rsidRDefault="00BE00A9"/>
        </w:tc>
      </w:tr>
      <w:tr w:rsidR="00B14F57" w14:paraId="4F0CD6F5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346E4" w14:textId="77777777" w:rsidR="00BE00A9" w:rsidRDefault="00000000">
            <w:r>
              <w:rPr>
                <w:sz w:val="20"/>
                <w:szCs w:val="20"/>
              </w:rPr>
              <w:t>Bidirectional ERP sync: transport orders in, confirmations / tracking / documents out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39CC8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25331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E2A8E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38CC8" w14:textId="77777777" w:rsidR="00BE00A9" w:rsidRDefault="00BE00A9"/>
        </w:tc>
      </w:tr>
      <w:tr w:rsidR="00B14F57" w14:paraId="75FDD8F5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F4A0C" w14:textId="77777777" w:rsidR="00BE00A9" w:rsidRDefault="00000000">
            <w:r>
              <w:rPr>
                <w:sz w:val="20"/>
                <w:szCs w:val="20"/>
              </w:rPr>
              <w:t>Consistent data structure regardless of carrier — no carrier-specific logic required in ERP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88E6C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C7376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678D8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6BD6C" w14:textId="77777777" w:rsidR="00BE00A9" w:rsidRDefault="00BE00A9"/>
        </w:tc>
      </w:tr>
      <w:tr w:rsidR="00B14F57" w14:paraId="07DA43A3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93175" w14:textId="77777777" w:rsidR="00BE00A9" w:rsidRDefault="00000000">
            <w:r>
              <w:rPr>
                <w:sz w:val="20"/>
                <w:szCs w:val="20"/>
              </w:rPr>
              <w:lastRenderedPageBreak/>
              <w:t>Webhook / event-based notifications for real-time status push to ERP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B1220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30714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35F9B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7B93E" w14:textId="77777777" w:rsidR="00BE00A9" w:rsidRDefault="00BE00A9"/>
        </w:tc>
      </w:tr>
      <w:tr w:rsidR="00B14F57" w14:paraId="7490A588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17BF6" w14:textId="77777777" w:rsidR="00BE00A9" w:rsidRDefault="00000000">
            <w:r>
              <w:rPr>
                <w:sz w:val="20"/>
                <w:szCs w:val="20"/>
              </w:rPr>
              <w:t>SSO (Single Sign-On)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D6B9A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5C79D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7B59D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F313C" w14:textId="77777777" w:rsidR="00BE00A9" w:rsidRDefault="00BE00A9"/>
        </w:tc>
      </w:tr>
      <w:tr w:rsidR="00B14F57" w14:paraId="48ABDE4B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B5155" w14:textId="77777777" w:rsidR="00BE00A9" w:rsidRDefault="00000000">
            <w:r>
              <w:rPr>
                <w:sz w:val="20"/>
                <w:szCs w:val="20"/>
              </w:rPr>
              <w:t>API documentation quality and availability of sandbox / test environment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C1E8B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C8D4B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54511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7A0AD" w14:textId="77777777" w:rsidR="00BE00A9" w:rsidRDefault="00BE00A9"/>
        </w:tc>
      </w:tr>
      <w:tr w:rsidR="00BE00A9" w14:paraId="1C9E494F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BCE19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K. Multi-site and Access Management</w:t>
            </w:r>
          </w:p>
        </w:tc>
      </w:tr>
      <w:tr w:rsidR="00B14F57" w14:paraId="0AA31FF6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F2653" w14:textId="77777777" w:rsidR="00BE00A9" w:rsidRDefault="00000000">
            <w:r>
              <w:rPr>
                <w:sz w:val="20"/>
                <w:szCs w:val="20"/>
              </w:rPr>
              <w:t>Separate workspaces per legal entity / site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E3B0E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C807F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A5E01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52C58" w14:textId="77777777" w:rsidR="00BE00A9" w:rsidRDefault="00BE00A9"/>
        </w:tc>
      </w:tr>
      <w:tr w:rsidR="00B14F57" w14:paraId="6E4BBF70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DDABD" w14:textId="77777777" w:rsidR="00BE00A9" w:rsidRDefault="00000000">
            <w:r>
              <w:rPr>
                <w:sz w:val="20"/>
                <w:szCs w:val="20"/>
              </w:rPr>
              <w:t>Cross-site visibility for supervisors and central teams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D4B3E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C6768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7F178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78FFE" w14:textId="77777777" w:rsidR="00BE00A9" w:rsidRDefault="00BE00A9"/>
        </w:tc>
      </w:tr>
      <w:tr w:rsidR="00B14F57" w14:paraId="3027431E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C266B" w14:textId="77777777" w:rsidR="00BE00A9" w:rsidRDefault="00000000">
            <w:r>
              <w:rPr>
                <w:sz w:val="20"/>
                <w:szCs w:val="20"/>
              </w:rPr>
              <w:t>Role-based access control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AC4F0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224F2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0381F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5DFCB" w14:textId="77777777" w:rsidR="00BE00A9" w:rsidRDefault="00BE00A9"/>
        </w:tc>
      </w:tr>
      <w:tr w:rsidR="00B14F57" w14:paraId="6FA6339E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69D9A" w14:textId="77777777" w:rsidR="00BE00A9" w:rsidRDefault="00000000">
            <w:r>
              <w:rPr>
                <w:sz w:val="20"/>
                <w:szCs w:val="20"/>
              </w:rPr>
              <w:t>User management (add / remove / modify)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916A1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5F7BA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D8139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33BB4" w14:textId="77777777" w:rsidR="00BE00A9" w:rsidRDefault="00BE00A9"/>
        </w:tc>
      </w:tr>
      <w:tr w:rsidR="00BE00A9" w14:paraId="4FA67398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71C53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L. Security and Compliance</w:t>
            </w:r>
          </w:p>
        </w:tc>
      </w:tr>
      <w:tr w:rsidR="00B14F57" w14:paraId="0550E91D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D6716" w14:textId="77777777" w:rsidR="00BE00A9" w:rsidRDefault="00000000">
            <w:r>
              <w:rPr>
                <w:sz w:val="20"/>
                <w:szCs w:val="20"/>
              </w:rPr>
              <w:t>ISO 27001 certification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87ACD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BF313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8E941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95C25" w14:textId="77777777" w:rsidR="00BE00A9" w:rsidRDefault="00BE00A9"/>
        </w:tc>
      </w:tr>
      <w:tr w:rsidR="00B14F57" w14:paraId="2156EC4E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B9FC8" w14:textId="77777777" w:rsidR="00BE00A9" w:rsidRDefault="00000000">
            <w:r>
              <w:rPr>
                <w:sz w:val="20"/>
                <w:szCs w:val="20"/>
              </w:rPr>
              <w:t>ISO 9001 certification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D6F82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B9C60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AFA06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68848" w14:textId="77777777" w:rsidR="00BE00A9" w:rsidRDefault="00BE00A9"/>
        </w:tc>
      </w:tr>
      <w:tr w:rsidR="00B14F57" w14:paraId="258A4CB5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41E04" w14:textId="77777777" w:rsidR="00BE00A9" w:rsidRDefault="00000000">
            <w:r>
              <w:rPr>
                <w:sz w:val="20"/>
                <w:szCs w:val="20"/>
              </w:rPr>
              <w:t>GDPR compliance / EU data hosting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04356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429CF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4D5DF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DA686" w14:textId="77777777" w:rsidR="00BE00A9" w:rsidRDefault="00BE00A9"/>
        </w:tc>
      </w:tr>
      <w:tr w:rsidR="00B14F57" w14:paraId="36806581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D7021" w14:textId="61DA2CDA" w:rsidR="00BE00A9" w:rsidRDefault="00000000">
            <w:r>
              <w:rPr>
                <w:sz w:val="20"/>
                <w:szCs w:val="20"/>
              </w:rPr>
              <w:t xml:space="preserve">Penetration testing </w:t>
            </w:r>
            <w:r w:rsidR="00D8339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recent independent report available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37A8E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167E2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B422F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6F34C" w14:textId="77777777" w:rsidR="00BE00A9" w:rsidRDefault="00BE00A9"/>
        </w:tc>
      </w:tr>
      <w:tr w:rsidR="00BE00A9" w14:paraId="2BB99D53" w14:textId="77777777">
        <w:tc>
          <w:tcPr>
            <w:tcW w:w="902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2D6DC" w14:textId="77777777" w:rsidR="00BE00A9" w:rsidRDefault="00000000">
            <w:r>
              <w:rPr>
                <w:b/>
                <w:bCs/>
                <w:color w:val="FFFFFF"/>
                <w:sz w:val="20"/>
                <w:szCs w:val="20"/>
              </w:rPr>
              <w:t>M. Support and Service</w:t>
            </w:r>
          </w:p>
        </w:tc>
      </w:tr>
      <w:tr w:rsidR="00B14F57" w14:paraId="4FBB5E3F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5461B" w14:textId="77777777" w:rsidR="00BE00A9" w:rsidRDefault="00000000">
            <w:r>
              <w:rPr>
                <w:sz w:val="20"/>
                <w:szCs w:val="20"/>
              </w:rPr>
              <w:t>Dedicated account manager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F4231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B171D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267AF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08E9A" w14:textId="77777777" w:rsidR="00BE00A9" w:rsidRDefault="00BE00A9"/>
        </w:tc>
      </w:tr>
      <w:tr w:rsidR="00B14F57" w14:paraId="1407297F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B687B" w14:textId="77777777" w:rsidR="00BE00A9" w:rsidRDefault="00000000">
            <w:r>
              <w:rPr>
                <w:sz w:val="20"/>
                <w:szCs w:val="20"/>
              </w:rPr>
              <w:t>Priority support queue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42F78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DE0F0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B48ED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9A1F6" w14:textId="77777777" w:rsidR="00BE00A9" w:rsidRDefault="00BE00A9"/>
        </w:tc>
      </w:tr>
      <w:tr w:rsidR="00B14F57" w14:paraId="15E3DB56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F996B" w14:textId="77777777" w:rsidR="00BE00A9" w:rsidRDefault="00000000">
            <w:r>
              <w:rPr>
                <w:sz w:val="20"/>
                <w:szCs w:val="20"/>
              </w:rPr>
              <w:lastRenderedPageBreak/>
              <w:t>Defined SLA and response times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D851F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8DBA5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EF333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4D674" w14:textId="77777777" w:rsidR="00BE00A9" w:rsidRDefault="00BE00A9"/>
        </w:tc>
      </w:tr>
      <w:tr w:rsidR="00B14F57" w14:paraId="49726296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238BF" w14:textId="77777777" w:rsidR="00BE00A9" w:rsidRDefault="00000000">
            <w:r>
              <w:rPr>
                <w:sz w:val="20"/>
                <w:szCs w:val="20"/>
              </w:rPr>
              <w:t>Onboarding / hypercare period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7F4AC" w14:textId="77777777" w:rsidR="00BE00A9" w:rsidRDefault="00000000">
            <w:r>
              <w:rPr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21292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F4BB2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7D1A5" w14:textId="77777777" w:rsidR="00BE00A9" w:rsidRDefault="00BE00A9"/>
        </w:tc>
      </w:tr>
      <w:tr w:rsidR="00B14F57" w14:paraId="5528076C" w14:textId="77777777">
        <w:tc>
          <w:tcPr>
            <w:tcW w:w="31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CDE72" w14:textId="77777777" w:rsidR="00BE00A9" w:rsidRDefault="00000000">
            <w:r>
              <w:rPr>
                <w:sz w:val="20"/>
                <w:szCs w:val="20"/>
              </w:rPr>
              <w:t>Documentation and training materials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E9FF7" w14:textId="77777777" w:rsidR="00BE00A9" w:rsidRDefault="00000000">
            <w:r>
              <w:rPr>
                <w:sz w:val="20"/>
                <w:szCs w:val="20"/>
              </w:rPr>
              <w:t>S</w:t>
            </w:r>
          </w:p>
        </w:tc>
        <w:tc>
          <w:tcPr>
            <w:tcW w:w="10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BBDCC" w14:textId="77777777" w:rsidR="00BE00A9" w:rsidRDefault="00BE00A9"/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CE059" w14:textId="77777777" w:rsidR="00BE00A9" w:rsidRDefault="00BE00A9"/>
        </w:tc>
        <w:tc>
          <w:tcPr>
            <w:tcW w:w="14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79ABC" w14:textId="77777777" w:rsidR="00BE00A9" w:rsidRDefault="00BE00A9"/>
        </w:tc>
      </w:tr>
    </w:tbl>
    <w:p w14:paraId="7BB18E00" w14:textId="77777777" w:rsidR="00FC4745" w:rsidRDefault="00FC4745"/>
    <w:sectPr w:rsidR="00FC4745">
      <w:pgSz w:w="16838" w:h="11906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B99"/>
    <w:multiLevelType w:val="hybridMultilevel"/>
    <w:tmpl w:val="5E404404"/>
    <w:lvl w:ilvl="0" w:tplc="AE6ACB0A">
      <w:start w:val="1"/>
      <w:numFmt w:val="bullet"/>
      <w:lvlText w:val="●"/>
      <w:lvlJc w:val="left"/>
      <w:pPr>
        <w:ind w:left="720" w:hanging="360"/>
      </w:pPr>
    </w:lvl>
    <w:lvl w:ilvl="1" w:tplc="C1B4C59E">
      <w:start w:val="1"/>
      <w:numFmt w:val="bullet"/>
      <w:lvlText w:val="○"/>
      <w:lvlJc w:val="left"/>
      <w:pPr>
        <w:ind w:left="1440" w:hanging="360"/>
      </w:pPr>
    </w:lvl>
    <w:lvl w:ilvl="2" w:tplc="CB5ACE0E">
      <w:start w:val="1"/>
      <w:numFmt w:val="bullet"/>
      <w:lvlText w:val="■"/>
      <w:lvlJc w:val="left"/>
      <w:pPr>
        <w:ind w:left="2160" w:hanging="360"/>
      </w:pPr>
    </w:lvl>
    <w:lvl w:ilvl="3" w:tplc="7D36282E">
      <w:start w:val="1"/>
      <w:numFmt w:val="bullet"/>
      <w:lvlText w:val="●"/>
      <w:lvlJc w:val="left"/>
      <w:pPr>
        <w:ind w:left="2880" w:hanging="360"/>
      </w:pPr>
    </w:lvl>
    <w:lvl w:ilvl="4" w:tplc="CACC73BA">
      <w:start w:val="1"/>
      <w:numFmt w:val="bullet"/>
      <w:lvlText w:val="○"/>
      <w:lvlJc w:val="left"/>
      <w:pPr>
        <w:ind w:left="3600" w:hanging="360"/>
      </w:pPr>
    </w:lvl>
    <w:lvl w:ilvl="5" w:tplc="418E35BA">
      <w:start w:val="1"/>
      <w:numFmt w:val="bullet"/>
      <w:lvlText w:val="■"/>
      <w:lvlJc w:val="left"/>
      <w:pPr>
        <w:ind w:left="4320" w:hanging="360"/>
      </w:pPr>
    </w:lvl>
    <w:lvl w:ilvl="6" w:tplc="A1A0DDB2">
      <w:start w:val="1"/>
      <w:numFmt w:val="bullet"/>
      <w:lvlText w:val="●"/>
      <w:lvlJc w:val="left"/>
      <w:pPr>
        <w:ind w:left="5040" w:hanging="360"/>
      </w:pPr>
    </w:lvl>
    <w:lvl w:ilvl="7" w:tplc="B7A4B900">
      <w:start w:val="1"/>
      <w:numFmt w:val="bullet"/>
      <w:lvlText w:val="●"/>
      <w:lvlJc w:val="left"/>
      <w:pPr>
        <w:ind w:left="5760" w:hanging="360"/>
      </w:pPr>
    </w:lvl>
    <w:lvl w:ilvl="8" w:tplc="B9D48FD2">
      <w:start w:val="1"/>
      <w:numFmt w:val="bullet"/>
      <w:lvlText w:val="●"/>
      <w:lvlJc w:val="left"/>
      <w:pPr>
        <w:ind w:left="6480" w:hanging="360"/>
      </w:pPr>
    </w:lvl>
  </w:abstractNum>
  <w:num w:numId="1" w16cid:durableId="1298611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A9"/>
    <w:rsid w:val="00036A9E"/>
    <w:rsid w:val="00152098"/>
    <w:rsid w:val="003363C6"/>
    <w:rsid w:val="005D25D3"/>
    <w:rsid w:val="00B14F57"/>
    <w:rsid w:val="00BA229C"/>
    <w:rsid w:val="00BE00A9"/>
    <w:rsid w:val="00D83393"/>
    <w:rsid w:val="00F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41C36"/>
  <w15:docId w15:val="{4A2C9E45-CEED-3A47-8438-A9126017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2E509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689</Words>
  <Characters>3951</Characters>
  <Application>Microsoft Office Word</Application>
  <DocSecurity>0</DocSecurity>
  <Lines>564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Cargoson</Company>
  <LinksUpToDate>false</LinksUpToDate>
  <CharactersWithSpaces>4383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Ülari Kalamees</dc:creator>
  <cp:keywords/>
  <dc:description/>
  <cp:lastModifiedBy>Rasmus Leichter - Cargoson</cp:lastModifiedBy>
  <cp:revision>8</cp:revision>
  <dcterms:created xsi:type="dcterms:W3CDTF">2026-05-13T11:32:00Z</dcterms:created>
  <dcterms:modified xsi:type="dcterms:W3CDTF">2026-06-15T13:42:00Z</dcterms:modified>
  <cp:category/>
</cp:coreProperties>
</file>